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2"/>
          <w:szCs w:val="22"/>
          <w:lang w:eastAsia="ru-RU"/>
        </w:rPr>
      </w:pPr>
      <w:r>
        <w:rPr/>
        <w:drawing>
          <wp:inline distT="0" distB="0" distL="0" distR="0">
            <wp:extent cx="561975" cy="904875"/>
            <wp:effectExtent l="0" t="0" r="0" b="0"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Дума  городского  округа  Красноуральск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восьмого созыва</w:t>
      </w:r>
    </w:p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РЕШЕНИЕ                                    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behindDoc="0" distT="11430" distB="11430" distL="11430" distR="11430" simplePos="0" locked="0" layoutInCell="1" allowOverlap="1" relativeHeight="3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6057900" cy="0"/>
                <wp:effectExtent l="11430" t="11430" r="11430" b="11430"/>
                <wp:wrapNone/>
                <wp:docPr id="2" name="Прямая соединительная линия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080" cy="0"/>
                        </a:xfrm>
                        <a:prstGeom prst="line">
                          <a:avLst/>
                        </a:prstGeom>
                        <a:ln w="22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7.35pt" to="476.95pt,7.35pt" ID="Прямая соединительная линия 6" stroked="t" o:allowincell="f" style="position:absolute">
                <v:stroke color="black" weight="2232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1" allowOverlap="1" relativeHeight="4">
                <wp:simplePos x="0" y="0"/>
                <wp:positionH relativeFrom="column">
                  <wp:posOffset>0</wp:posOffset>
                </wp:positionH>
                <wp:positionV relativeFrom="paragraph">
                  <wp:posOffset>133350</wp:posOffset>
                </wp:positionV>
                <wp:extent cx="6057900" cy="0"/>
                <wp:effectExtent l="635" t="635" r="635" b="635"/>
                <wp:wrapNone/>
                <wp:docPr id="3" name="Прямая соединительная линия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08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0.5pt" to="476.95pt,10.5pt" ID="Прямая соединительная линия 5" stroked="t" o:allowincell="f" style="position:absolute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tyle18"/>
        <w:spacing w:lineRule="auto" w:line="276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8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от   </w:t>
      </w:r>
      <w:r>
        <w:rPr>
          <w:rFonts w:cs="Times New Roman" w:ascii="Times New Roman" w:hAnsi="Times New Roman"/>
          <w:sz w:val="26"/>
          <w:szCs w:val="26"/>
        </w:rPr>
        <w:t>15</w:t>
      </w:r>
      <w:r>
        <w:rPr>
          <w:rFonts w:cs="Times New Roman" w:ascii="Times New Roman" w:hAnsi="Times New Roman"/>
          <w:sz w:val="26"/>
          <w:szCs w:val="26"/>
        </w:rPr>
        <w:t xml:space="preserve"> декабря 2023 года  №  </w:t>
      </w:r>
      <w:r>
        <w:rPr>
          <w:rFonts w:cs="Times New Roman" w:ascii="Times New Roman" w:hAnsi="Times New Roman"/>
          <w:sz w:val="26"/>
          <w:szCs w:val="26"/>
        </w:rPr>
        <w:t>104</w:t>
      </w:r>
    </w:p>
    <w:p>
      <w:pPr>
        <w:pStyle w:val="Normal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город Красноуральск</w:t>
      </w:r>
    </w:p>
    <w:p>
      <w:pPr>
        <w:pStyle w:val="Normal"/>
        <w:jc w:val="center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утверждении примерного плана работы Думы городского округа Красноуральск на </w:t>
      </w: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 xml:space="preserve"> полугодие 2024 года, графика приема граждан по месту жительства депутатами Думы городского округа Красноуральск на 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 xml:space="preserve"> полугодие 2024 года, графика проведения «горячих линий» депутатами 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Думы городского округа Красноуральск на </w:t>
      </w: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 xml:space="preserve"> полугодие 2024 года</w:t>
      </w:r>
    </w:p>
    <w:p>
      <w:pPr>
        <w:pStyle w:val="Normal"/>
        <w:jc w:val="center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Spacing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Регламентом Думы городского округа Красноуральск, утвержденным решением Думы городского округа Красноуральск от 23 ноября 2017 года № 54 (с изменениями, внесенными решением Думы городского округа Красноуральск от 26 сентября 2019 года № 206, от 27 февраля 2020 года № 227, от 17 декабря 2020 года 264), рассмотрев предложения органов местного самоуправления городского округа Красноуральск, постоянных комиссий и депутатов Думы городского округа Красноуральск, руководствуясь статьёй 23 Устава городского округа Красноуральск, Дума городского округа Красноуральск</w:t>
      </w:r>
    </w:p>
    <w:p>
      <w:pPr>
        <w:pStyle w:val="Normal"/>
        <w:ind w:firstLine="90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onsTitle"/>
        <w:widowControl/>
        <w:ind w:hanging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>
      <w:pPr>
        <w:pStyle w:val="Normal"/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firstLine="709" w:left="0"/>
        <w:jc w:val="both"/>
        <w:rPr>
          <w:sz w:val="26"/>
          <w:szCs w:val="26"/>
        </w:rPr>
      </w:pPr>
      <w:r>
        <w:rPr>
          <w:sz w:val="26"/>
          <w:szCs w:val="26"/>
        </w:rPr>
        <w:t>Утвердить примерный план работы Думы городского округа Красноуральск на I полугодие 2024 года (приложение 1).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firstLine="709"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график приема граждан по месту жительства депутатами Думы городского округа Красноуральск на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2024 года (приложение 2).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firstLine="709"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график проведения «горячих линий» депутатами Думы городского округа Красноуральск на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2024 года (приложение 3).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firstLine="709" w:left="0"/>
        <w:jc w:val="both"/>
        <w:rPr>
          <w:sz w:val="26"/>
          <w:szCs w:val="26"/>
        </w:rPr>
      </w:pPr>
      <w:r>
        <w:rPr>
          <w:sz w:val="26"/>
          <w:szCs w:val="26"/>
        </w:rPr>
        <w:t>Настоящее решение вступает в силу с момента его принятия.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firstLine="709" w:left="0"/>
        <w:jc w:val="both"/>
        <w:rPr>
          <w:sz w:val="26"/>
          <w:szCs w:val="26"/>
        </w:rPr>
      </w:pPr>
      <w:r>
        <w:rPr>
          <w:sz w:val="26"/>
          <w:szCs w:val="26"/>
        </w:rPr>
        <w:t>Настоящее решение опубликовать в газете «Красноуральский рабочий» и разместить на официальном сайте Думы городского округа Красноуральск в сети «Интернет» (</w:t>
      </w:r>
      <w:hyperlink r:id="rId3">
        <w:r>
          <w:rPr>
            <w:color w:val="auto"/>
            <w:sz w:val="26"/>
            <w:szCs w:val="26"/>
            <w:u w:val="none"/>
            <w:lang w:val="en-US"/>
          </w:rPr>
          <w:t>http</w:t>
        </w:r>
        <w:r>
          <w:rPr>
            <w:color w:val="auto"/>
            <w:sz w:val="26"/>
            <w:szCs w:val="26"/>
            <w:u w:val="none"/>
          </w:rPr>
          <w:t>://</w:t>
        </w:r>
        <w:r>
          <w:rPr>
            <w:color w:val="auto"/>
            <w:sz w:val="26"/>
            <w:szCs w:val="26"/>
            <w:u w:val="none"/>
            <w:lang w:val="en-US"/>
          </w:rPr>
          <w:t>www</w:t>
        </w:r>
        <w:r>
          <w:rPr>
            <w:color w:val="auto"/>
            <w:sz w:val="26"/>
            <w:szCs w:val="26"/>
            <w:u w:val="none"/>
          </w:rPr>
          <w:t>.</w:t>
        </w:r>
        <w:r>
          <w:rPr>
            <w:color w:val="auto"/>
            <w:sz w:val="26"/>
            <w:szCs w:val="26"/>
            <w:u w:val="none"/>
            <w:lang w:val="en-US"/>
          </w:rPr>
          <w:t>dumakrur</w:t>
        </w:r>
        <w:r>
          <w:rPr>
            <w:color w:val="auto"/>
            <w:sz w:val="26"/>
            <w:szCs w:val="26"/>
            <w:u w:val="none"/>
          </w:rPr>
          <w:t>.</w:t>
        </w:r>
        <w:r>
          <w:rPr>
            <w:color w:val="auto"/>
            <w:sz w:val="26"/>
            <w:szCs w:val="26"/>
            <w:u w:val="none"/>
            <w:lang w:val="en-US"/>
          </w:rPr>
          <w:t>ru</w:t>
        </w:r>
      </w:hyperlink>
      <w:r>
        <w:rPr>
          <w:sz w:val="26"/>
          <w:szCs w:val="26"/>
        </w:rPr>
        <w:t>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firstLine="709"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Контроль исполнения данного решения оставляю за собой.  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</w:t>
      </w:r>
    </w:p>
    <w:p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Красноуральск                                               А.В. Медведев    </w:t>
      </w:r>
    </w:p>
    <w:p>
      <w:pPr>
        <w:pStyle w:val="Normal"/>
        <w:suppressAutoHyphens w:val="false"/>
        <w:ind w:hanging="0" w:left="5529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ind w:hanging="0" w:left="5529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ind w:hanging="0" w:left="5529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Приложение 1</w:t>
      </w:r>
    </w:p>
    <w:p>
      <w:pPr>
        <w:pStyle w:val="Normal"/>
        <w:suppressAutoHyphens w:val="false"/>
        <w:ind w:hanging="0" w:left="5529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утверждено решением Думы</w:t>
      </w:r>
    </w:p>
    <w:p>
      <w:pPr>
        <w:pStyle w:val="Normal"/>
        <w:suppressAutoHyphens w:val="false"/>
        <w:ind w:hanging="0" w:left="5529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городского округа Красноуральск</w:t>
      </w:r>
    </w:p>
    <w:p>
      <w:pPr>
        <w:pStyle w:val="Normal"/>
        <w:suppressAutoHyphens w:val="false"/>
        <w:ind w:hanging="0" w:left="5529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от </w:t>
      </w:r>
      <w:r>
        <w:rPr>
          <w:rFonts w:eastAsia="Calibri" w:eastAsiaTheme="minorHAnsi"/>
          <w:lang w:eastAsia="en-US"/>
        </w:rPr>
        <w:t>15</w:t>
      </w:r>
      <w:r>
        <w:rPr>
          <w:rFonts w:eastAsia="Calibri" w:eastAsiaTheme="minorHAnsi"/>
          <w:lang w:eastAsia="en-US"/>
        </w:rPr>
        <w:t xml:space="preserve"> декабря 2023 года  № </w:t>
      </w:r>
      <w:r>
        <w:rPr>
          <w:rFonts w:eastAsia="Calibri" w:eastAsiaTheme="minorHAnsi"/>
          <w:lang w:eastAsia="en-US"/>
        </w:rPr>
        <w:t>104</w:t>
      </w:r>
    </w:p>
    <w:p>
      <w:pPr>
        <w:pStyle w:val="Normal"/>
        <w:suppressAutoHyphens w:val="false"/>
        <w:ind w:hanging="0" w:left="5529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jc w:val="right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jc w:val="right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jc w:val="right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jc w:val="right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jc w:val="center"/>
        <w:rPr>
          <w:rFonts w:eastAsia="Calibri" w:eastAsiaTheme="minorHAnsi"/>
          <w:b/>
          <w:sz w:val="26"/>
          <w:szCs w:val="26"/>
          <w:lang w:eastAsia="en-US"/>
        </w:rPr>
      </w:pPr>
      <w:r>
        <w:rPr>
          <w:rFonts w:eastAsia="Calibri" w:eastAsiaTheme="minorHAnsi"/>
          <w:b/>
          <w:sz w:val="26"/>
          <w:szCs w:val="26"/>
          <w:lang w:eastAsia="en-US"/>
        </w:rPr>
        <w:t xml:space="preserve">Примерный план работы </w:t>
      </w:r>
    </w:p>
    <w:p>
      <w:pPr>
        <w:pStyle w:val="Normal"/>
        <w:suppressAutoHyphens w:val="false"/>
        <w:jc w:val="center"/>
        <w:rPr>
          <w:rFonts w:eastAsia="Calibri" w:eastAsiaTheme="minorHAnsi"/>
          <w:b/>
          <w:sz w:val="26"/>
          <w:szCs w:val="26"/>
          <w:lang w:eastAsia="en-US"/>
        </w:rPr>
      </w:pPr>
      <w:r>
        <w:rPr>
          <w:rFonts w:eastAsia="Calibri" w:eastAsiaTheme="minorHAnsi"/>
          <w:b/>
          <w:sz w:val="26"/>
          <w:szCs w:val="26"/>
          <w:lang w:eastAsia="en-US"/>
        </w:rPr>
        <w:t xml:space="preserve">Думы городского округа Красноуральск на </w:t>
      </w:r>
      <w:r>
        <w:rPr>
          <w:rFonts w:eastAsia="Calibri" w:eastAsiaTheme="minorHAnsi"/>
          <w:b/>
          <w:sz w:val="26"/>
          <w:szCs w:val="26"/>
          <w:lang w:val="en-US" w:eastAsia="en-US"/>
        </w:rPr>
        <w:t>I</w:t>
      </w:r>
      <w:r>
        <w:rPr>
          <w:rFonts w:eastAsia="Calibri" w:eastAsiaTheme="minorHAnsi"/>
          <w:b/>
          <w:sz w:val="26"/>
          <w:szCs w:val="26"/>
          <w:lang w:eastAsia="en-US"/>
        </w:rPr>
        <w:t xml:space="preserve"> полугодие 2024 года</w:t>
      </w:r>
    </w:p>
    <w:p>
      <w:pPr>
        <w:pStyle w:val="Normal"/>
        <w:suppressAutoHyphens w:val="false"/>
        <w:jc w:val="center"/>
        <w:rPr>
          <w:rFonts w:eastAsia="Calibri" w:eastAsiaTheme="minorHAnsi"/>
          <w:b/>
          <w:sz w:val="16"/>
          <w:szCs w:val="16"/>
          <w:lang w:eastAsia="en-US"/>
        </w:rPr>
      </w:pPr>
      <w:r>
        <w:rPr>
          <w:rFonts w:eastAsia="Calibri" w:eastAsiaTheme="minorHAnsi"/>
          <w:b/>
          <w:sz w:val="16"/>
          <w:szCs w:val="16"/>
          <w:lang w:eastAsia="en-US"/>
        </w:rPr>
      </w:r>
    </w:p>
    <w:p>
      <w:pPr>
        <w:pStyle w:val="Normal"/>
        <w:suppressAutoHyphens w:val="false"/>
        <w:jc w:val="center"/>
        <w:rPr>
          <w:rFonts w:eastAsia="Calibri" w:eastAsiaTheme="minorHAnsi"/>
          <w:sz w:val="8"/>
          <w:szCs w:val="8"/>
          <w:lang w:eastAsia="en-US"/>
        </w:rPr>
      </w:pPr>
      <w:r>
        <w:rPr>
          <w:rFonts w:eastAsia="Calibri" w:eastAsiaTheme="minorHAnsi"/>
          <w:sz w:val="8"/>
          <w:szCs w:val="8"/>
          <w:lang w:eastAsia="en-US"/>
        </w:rPr>
      </w:r>
    </w:p>
    <w:tbl>
      <w:tblPr>
        <w:tblStyle w:val="a7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16"/>
        <w:gridCol w:w="26"/>
        <w:gridCol w:w="3577"/>
        <w:gridCol w:w="1247"/>
        <w:gridCol w:w="2123"/>
        <w:gridCol w:w="2158"/>
      </w:tblGrid>
      <w:tr>
        <w:trPr>
          <w:trHeight w:val="675" w:hRule="atLeast"/>
        </w:trPr>
        <w:tc>
          <w:tcPr>
            <w:tcW w:w="61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 xml:space="preserve">№ </w:t>
            </w: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п/п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Перечень вопросов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Месяц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Ответственные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Постоянная комиссия по экономической политике и бюджету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Годовой отчет о работе Контрольного органа городского округа Красноуральск за 2023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2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Информация о результатах контрольного мероприятия </w:t>
            </w:r>
            <w:r>
              <w:rPr>
                <w:rFonts w:cs="Times New Roman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«Проверка законности и эффективности использования средств бюджета городского округа Красноуральск, выделенных в 2022 году на реализацию мероприятий муниципальной программы «Развитие и обеспечение сохранности сети автомобильных дорог на территории городского округа Красноуральск до 2025 года» с проведением аудита в сфере закупок (предложение главы городского округа Красноуральск от 15.12.2022 № 6497)  (совестно с ОМВД России по г.Красноуральску, распоряжение Контрольного органа городского округа Красноуральск от 08.02.2023 №03).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Март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3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О внесении изменений в решение Думы городского округа Красноуральск  «О бюджете городского округа Красноуральск на 2024 год и плановый 2025 и 2026 годов»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sz w:val="24"/>
                <w:szCs w:val="24"/>
                <w:shd w:fill="auto" w:val="clear"/>
                <w:lang w:val="en-US" w:eastAsia="en-US"/>
              </w:rPr>
              <w:t>4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Об утверждении отчета по плану приватизации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5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Внешняя проверка годовой бюджетной отчетности главных администраторов бюджетных средств за 2023 год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6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Подготовка заключения на годовой отчет об исполнении бюджета городского округа Красноуральск за 2023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7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Экспертиза и подготовка заключения на проект Решения Думы городского округа Красноуральск «Об исполнении бюджета городского округа Красноуральск за 2023 год»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8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Об исполнении бюджета городского округа Красноуральск за 2023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9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Экспертиза и подготовка заключения на проект Решения Думы городского округа Красноуральск об исполнении местного бюджета за 1 квартал 2024 года, подготовка информации о ходе исполнения местного бюджета за 1 квартал 2024 года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10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Об исполнении бюджета городского округа Красноуральск за 1 квартал 2024 года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sz w:val="22"/>
                <w:shd w:fill="auto" w:val="clear"/>
                <w:lang w:val="en-US"/>
              </w:rPr>
              <w:t>11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Об отчете главы городского округа Красноуральск о результатах своей деятельности, о деятельности администрации городского округа Красноуральск, в том числе о решении вопросов, поставленных  Думой городского округа Красноуральск, за 2023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12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Экспертиза проектов решений Думы городского округа Красноуральск о внесении изменений в местный бюджет на 2024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 w:right="-67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По мере поступления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13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Финансово – экономическая экспертиза: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- проектов муниципальных правовых актов (включая обоснованность финансово-экономических обоснований) в части, касающейся расходных обязательств городского округа Красноуральск;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- проектов муниципальных программ, на финансирование которых планируются средства местного бюджета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 w:right="-67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По мере поступления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14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Информация о проведенных контрольных и экспертно-аналитических мероприятиях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 w:right="-67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По мере поступления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15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Отчет о работе комиссии за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I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полугодие 2024 года, планирование работы на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II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полугодие 2024 года.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 w:right="-67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Комиссия по экономической политике и бюджету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Внесен постоянной комиссией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highlight w:val="none"/>
                <w:shd w:fill="auto" w:val="clear"/>
                <w:lang w:eastAsia="en-US"/>
              </w:rPr>
            </w:pPr>
            <w:r>
              <w:rPr>
                <w:rFonts w:eastAsia="Calibri" w:eastAsiaTheme="minorHAnsi"/>
                <w:b/>
                <w:sz w:val="26"/>
                <w:szCs w:val="26"/>
                <w:shd w:fill="auto" w:val="clear"/>
                <w:lang w:eastAsia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shd w:fill="auto" w:val="clear"/>
                <w:lang w:val="ru-RU" w:eastAsia="en-US" w:bidi="ar-SA"/>
              </w:rPr>
              <w:t>Постоянная комиссия по законодательству и местному самоуправлению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highlight w:val="none"/>
                <w:shd w:fill="auto" w:val="clear"/>
                <w:lang w:eastAsia="en-US"/>
              </w:rPr>
            </w:pPr>
            <w:r>
              <w:rPr>
                <w:rFonts w:eastAsia="Calibri" w:eastAsiaTheme="minorHAnsi"/>
                <w:b/>
                <w:sz w:val="26"/>
                <w:szCs w:val="26"/>
                <w:shd w:fill="auto" w:val="clear"/>
                <w:lang w:eastAsia="en-US"/>
              </w:rPr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Об отчетах депутатов Думы городского округа Красноуральск перед избирателями за 2023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Об участии в конкурсе представительных органов муниципальных образований, расположенных на территории Свердловской области, посвящённом Дню местного самоуправления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3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Об аккредитации журналистов средств массовой информации при Думе городского округа Красноуральск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4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Об отчете главы городского округа Красноуральск о результатах своей деятельности, о деятельности администрации городского округа Красноуральск, в том числе о решении вопросов, поставленных Думой городского округа Красноуральск, за 2023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 внесении изменений в решение Думы городского округа Красноуральск от 28 июня 2018 года № 114 «Об утверждении Правил благоустройства на территории городского округа Красноуральск»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6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/>
                <w:kern w:val="0"/>
                <w:shd w:fill="auto" w:val="clear"/>
                <w:lang w:val="ru-RU" w:eastAsia="en-US" w:bidi="ar-SA"/>
              </w:rPr>
              <w:t>О внесении изменений в решение Думы городского округа Красноуральск от 29 апреля 2021 года № 281 «Об утверждении Генерального плана городского округа Красноуральск»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2"/>
                <w:shd w:fill="auto" w:val="clear"/>
                <w:lang w:val="ru-RU" w:eastAsia="en-US" w:bidi="ar-SA"/>
              </w:rPr>
              <w:t>Июнь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2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2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7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/>
                <w:kern w:val="0"/>
                <w:shd w:fill="auto" w:val="clear"/>
                <w:lang w:val="ru-RU" w:eastAsia="en-US" w:bidi="ar-SA"/>
              </w:rPr>
              <w:t>О внесении изменений в решение Думы городского округа Красноуральск от 29 апреля 2021 года № 28</w:t>
            </w:r>
            <w:r>
              <w:rPr>
                <w:rFonts w:eastAsia="Calibri"/>
                <w:kern w:val="0"/>
                <w:shd w:fill="auto" w:val="clear"/>
                <w:lang w:val="en-US" w:eastAsia="en-US" w:bidi="ar-SA"/>
              </w:rPr>
              <w:t>2</w:t>
            </w:r>
            <w:r>
              <w:rPr>
                <w:rFonts w:eastAsia="Calibri"/>
                <w:kern w:val="0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eastAsia="Calibr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«</w:t>
            </w:r>
            <w:r>
              <w:rPr>
                <w:rFonts w:eastAsia="Calibri"/>
                <w:b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en-US" w:bidi="ar-SA"/>
              </w:rPr>
              <w:t>О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б утверждении Правил землепользования и застройки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городского округа Красноуральск</w:t>
            </w:r>
            <w:r>
              <w:rPr>
                <w:rFonts w:eastAsia="Calibr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»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2"/>
                <w:shd w:fill="auto" w:val="clear"/>
                <w:lang w:val="ru-RU" w:eastAsia="en-US" w:bidi="ar-SA"/>
              </w:rPr>
              <w:t>Июнь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2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kern w:val="0"/>
                <w:sz w:val="22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8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Об утверждении примерного плана работы Думы городского округа Красноуральск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на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II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полугодие 202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4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года, графика приема граждан по месту жительства депутатами Думы городского округа Красноуральск на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II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полугодие 202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4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года, графика проведения «горячих линий» депутатами Думы городского округа Красноуральск на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I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I полугодие 202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4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года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Июнь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lang w:val="en-US"/>
              </w:rPr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9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Отчет о работе комиссии за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I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полугодие 202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4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года, планирование работы на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II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полугодие 202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4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года.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Комиссия по законодательству и местному самоуправлению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kern w:val="0"/>
                <w:sz w:val="12"/>
                <w:szCs w:val="12"/>
                <w:shd w:fill="auto" w:val="clear"/>
                <w:lang w:val="ru-RU" w:eastAsia="en-US" w:bidi="ar-SA"/>
              </w:rPr>
            </w:pPr>
            <w:r>
              <w:rPr>
                <w:rFonts w:eastAsia="Calibri" w:eastAsiaTheme="minorHAnsi"/>
                <w:b/>
                <w:kern w:val="0"/>
                <w:sz w:val="12"/>
                <w:szCs w:val="12"/>
                <w:shd w:fill="auto" w:val="clear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shd w:fill="auto" w:val="clear"/>
                <w:lang w:val="ru-RU" w:eastAsia="en-US" w:bidi="ar-SA"/>
              </w:rPr>
              <w:t>Постоянная комиссия по жилищно-коммунальному хозяйству,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shd w:fill="auto" w:val="clear"/>
                <w:lang w:val="ru-RU" w:eastAsia="en-US" w:bidi="ar-SA"/>
              </w:rPr>
              <w:t>транспорту и благоустройству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kern w:val="0"/>
                <w:sz w:val="12"/>
                <w:szCs w:val="12"/>
                <w:shd w:fill="auto" w:val="clear"/>
                <w:lang w:val="ru-RU" w:eastAsia="en-US" w:bidi="ar-SA"/>
              </w:rPr>
            </w:pPr>
            <w:r>
              <w:rPr>
                <w:rFonts w:eastAsia="Calibri" w:eastAsiaTheme="minorHAnsi"/>
                <w:b/>
                <w:kern w:val="0"/>
                <w:sz w:val="12"/>
                <w:szCs w:val="12"/>
                <w:shd w:fill="auto" w:val="clear"/>
                <w:lang w:val="ru-RU" w:eastAsia="en-US" w:bidi="ar-SA"/>
              </w:rPr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2"/>
              </w:rPr>
            </w:pPr>
            <w:r>
              <w:rPr>
                <w:sz w:val="22"/>
                <w:shd w:fill="auto" w:val="clear"/>
              </w:rPr>
              <w:t>1.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План по проведению дорожно-уличной сети в надлежащее состояние (состояние полотна дорог, установка знаков, светофоров, нанесение разметки и строительство искусственных неровностей) на 202</w:t>
            </w:r>
            <w:r>
              <w:rPr>
                <w:i w:val="false"/>
                <w:iCs w:val="false"/>
                <w:sz w:val="24"/>
                <w:szCs w:val="24"/>
                <w:shd w:fill="auto" w:val="clear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 xml:space="preserve"> год.</w:t>
            </w:r>
          </w:p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Участие ГО Красноуральск в областной программе по ремонту городских дорог, наличие ПСД с экспертизами проектов.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2"/>
              </w:rPr>
            </w:pPr>
            <w:r>
              <w:rPr>
                <w:sz w:val="22"/>
                <w:shd w:fill="auto" w:val="clear"/>
              </w:rPr>
              <w:t>2.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О проделанной работе администрации ГО Красноуральск по подготовке к выполнению программы капитального ремонта многоквартирных домов в 202</w:t>
            </w:r>
            <w:r>
              <w:rPr>
                <w:i w:val="false"/>
                <w:iCs w:val="false"/>
                <w:sz w:val="24"/>
                <w:szCs w:val="24"/>
                <w:shd w:fill="auto" w:val="clear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 xml:space="preserve"> году на территории ГО Красноуральск.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ходе проведения  отопительного сезона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3</w:t>
            </w:r>
            <w:r>
              <w:rPr>
                <w:i w:val="false"/>
                <w:iCs w:val="false"/>
                <w:sz w:val="24"/>
                <w:szCs w:val="24"/>
              </w:rPr>
              <w:t>-202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годов на территории ГО Красноуральск. Информация о кредиторской задолженности за ТЭР и принятых мерах по работе с должниками.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проводимой работе   администрации ГО Красноуральск   по сбору, транспортированию, обработке, утилизации, обезвреживанию, размещению отходов 1-4 класса опасности на полигоне ТБО ГО Красноуральск и планы на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проделанной работе администрации ГО Красноуральск по подготовке ПСД для участие в областной программы «Развитие жилищно - коммунального хозяйства и повышения энергетической эффективности до 2025 года».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проделанной работе по распиловке тополей в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3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 и планы на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i w:val="false"/>
                <w:iCs w:val="false"/>
                <w:sz w:val="24"/>
                <w:szCs w:val="24"/>
              </w:rPr>
              <w:t>Информация о ходе проведения  отопительного сезона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3</w:t>
            </w:r>
            <w:r>
              <w:rPr>
                <w:i w:val="false"/>
                <w:iCs w:val="false"/>
                <w:sz w:val="24"/>
                <w:szCs w:val="24"/>
              </w:rPr>
              <w:t>-202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годов на территории ГО Красноуральск. Информация о кредиторской задолженности за ТЭР и принятых мерах по работе с должниками.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работе администрации ГО Красноуральск по газификации домов ГО Красноуральск, перспективные планы развития, наличия ПСД, экспертизы проектов.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проделанной работе администрации ГО Красноуральск по формированию участков, по предоставлению бесплатных земельных участков для индивидуального жилищного строительства льготной категории граждан.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10.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о работе службы ЕДДС.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11.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ходе работ по инвентаризации имеющего на территории жилищного фонда, в том числе  ветхого и аварийного жилищного фонда и перспективах нового строительства и капитального ремонта имеющегося жилищного фонда на территории ГО Красноуральск в рамке региональной программы капитального ремонта жилищного фонда и региональной программы по переселению граждан из аварийного фонда.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12.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перспективных планах по разработке схем газоснабжения и электроснабжения ГО Красноуральск и планируемых мероприятиях по модернизации в данных направлениях.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13.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об организации пассажирских перевозок на территории ГО Красноуральск и планируемых мероприятиях по улучшению работы в данном направлении.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14.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Об установлении для городского округа Красноуральск предельного (максимального) индекса изменения размера вносимой гражданами платы за коммунальные услуги, превышающего индекс по Свердловской области более чем на величину отклонения по Свердловской области.</w:t>
            </w:r>
          </w:p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15.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Информации о работе администрации ГО Красноуральск по содержанию и эксплуатации общежитий и планы по улучшения данной работы и сокращения затрат на их содержания.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16.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проведенной работе администрации ГО Красноуральск по содержанию и использованию муниципальной техники, мероприятия по рациональному использованию и сокращению затрат по их эксплуатации.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17.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о проделанной работе МУП «Муниципальная управляющая компания» по оказании услуг населения по водоснабжению, водоотведению за прошедший период. Финансовая состояния на предприятии, претензионная работа, работа по модернизации производства.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18.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управляющих компаний ГО Красноуральск по применению платы за жилое помещение в ГО Красноуральск.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19.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Об итогах  отопительного сезона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3</w:t>
            </w:r>
            <w:r>
              <w:rPr>
                <w:i w:val="false"/>
                <w:iCs w:val="false"/>
                <w:sz w:val="24"/>
                <w:szCs w:val="24"/>
              </w:rPr>
              <w:t>-202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годов и планах по подготовке к отопительному сезону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>-202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5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20.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об организации пассажирских перевозок на территории ГО Красноуральск и планируемых мероприятиях по улучшению работы в данном направлении в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году.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21.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проделанной работе администрации ГО Красноуральск по реализации государственной программы «Доступная среда» и созданию условий для людей с ограниченным возможностями на территории ГО Красноуральск.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22.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ходе выполнения администрации ГО Красноуральск муниципальных целевых программ на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23.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ходе подготовки к  отопительному сезону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>-202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5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годов  объектов инженерной инфраструктуры и инженерных коммуникаций, объектов социального и культурного назначения ГО Красноуральск. Рассмотрение плана мероприятий по подготовке к отопительному сезону.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24.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ходе подготовке к отопительному сезону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>-202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5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годов жилищного фонда ГО Красноуральск управляющими компаниями.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25.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принятых мерах администрации ГО Красноуральск по уборке несанкционированных свалках.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26.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о работе комиссии за 1 полугодие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года и планирование работы комиссии на 2-ое полугодие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4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Постоянная комиссия по социальной политике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социальной  поддержке и работе с семьями мобилизованных граждан на территории ГО Красноуральск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результатах работы МКУ «Управление культуры и молодежной политики» за 202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МКУ «Управление культуры и молодежной политики»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результатах работы МКУ «Управление по физической культуре и спорту» за 202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МКУ «Управление по физической культуре и спорту»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4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О мероприятиях по патриотическому воспитанию за 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2023 год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и план на 202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4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МКУ «Управление культуры и молодежной политики»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5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результатах работы ГАУЗ Свердловской области «Красноуральская городская больница» за 202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</w:rPr>
            </w:pPr>
            <w:r>
              <w:rPr>
                <w:i w:val="false"/>
                <w:iCs w:val="false"/>
                <w:kern w:val="0"/>
                <w:sz w:val="21"/>
                <w:szCs w:val="21"/>
                <w:lang w:val="ru-RU" w:bidi="ar-SA"/>
              </w:rPr>
              <w:t>ГАУЗ Свердловской области «Красноуральская городская больница»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1"/>
                <w:szCs w:val="21"/>
              </w:rPr>
            </w:pPr>
            <w:r>
              <w:rPr>
                <w:i w:val="false"/>
                <w:iCs w:val="false"/>
                <w:sz w:val="21"/>
                <w:szCs w:val="21"/>
              </w:rPr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результатах работы ЗАГС за 202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Отдел ЗАГС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7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Об итогах работы центра занятости за 202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Центр занятости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8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результатах работы «Управление социальной политики по г. Красноуральску» за 202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Управление социальной политики по г. Красноуральску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9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деятельности МАУ ДО «ДШИ» за 202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3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Красноуральск, МАУ ДО «ДШИ»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подготовке ОУ к сдаче ЕГЭ в 202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4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г.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МКУ «Управление образования»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11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деятельности клубов по месту жительства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i w:val="false"/>
                <w:iCs w:val="false"/>
                <w:kern w:val="0"/>
                <w:sz w:val="22"/>
                <w:szCs w:val="22"/>
                <w:lang w:val="ru-RU" w:bidi="ar-SA"/>
              </w:rPr>
              <w:t>МКУ «Управление культуры и молодежной политики», МКУ «ОДПМК»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12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ходе подготовки к празднованию 1 Мая и Дня Победы в Великой Отечественной Войне.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13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Об организации и проведении городских субботников, благоустройства и озеленения территорий ГО Красноуральск.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14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мерах поддержки одаренных детей в ГО Красноуральск.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57" w:right="-113"/>
              <w:jc w:val="left"/>
              <w:rPr>
                <w:sz w:val="22"/>
                <w:szCs w:val="22"/>
              </w:rPr>
            </w:pPr>
            <w:r>
              <w:rPr>
                <w:i w:val="false"/>
                <w:iCs w:val="false"/>
                <w:kern w:val="0"/>
                <w:sz w:val="22"/>
                <w:szCs w:val="22"/>
                <w:lang w:val="ru-RU" w:bidi="ar-SA"/>
              </w:rPr>
              <w:t>Администрация ГО Красноуральск, МКУ «Управление культуры и молодежной политики», МКУ «Управление образования», МКУ «УФКиС»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15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Об организации летнего отдыха и трудоустройства детей и подростков.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i w:val="false"/>
                <w:iCs w:val="false"/>
                <w:kern w:val="0"/>
                <w:sz w:val="22"/>
                <w:szCs w:val="22"/>
                <w:lang w:val="ru-RU" w:bidi="ar-SA"/>
              </w:rPr>
              <w:t>Администрация ГО Красноуральск, МКУ «Управление культуры и молодежной политики», МКУ «Управление образования», МКУ «УФКиС»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16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подготовке детских дворовых площадок к летнему периоду.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i w:val="false"/>
                <w:iCs w:val="false"/>
                <w:kern w:val="0"/>
                <w:sz w:val="22"/>
                <w:szCs w:val="22"/>
                <w:lang w:val="ru-RU" w:bidi="ar-SA"/>
              </w:rPr>
              <w:t>Администрация ГО Красноуральск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17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состоянии детской смертности и травматизма в ГО Красноуральск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i w:val="false"/>
                <w:iCs w:val="false"/>
                <w:kern w:val="0"/>
                <w:sz w:val="22"/>
                <w:szCs w:val="22"/>
                <w:lang w:val="ru-RU" w:bidi="ar-SA"/>
              </w:rPr>
              <w:t>Администрация ГО Красноуральск, ГАУЗ СО «Красноуральская городская больница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18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Информация по реализации программы "Доступная среда»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i w:val="false"/>
                <w:iCs w:val="false"/>
                <w:kern w:val="0"/>
                <w:sz w:val="22"/>
                <w:szCs w:val="22"/>
                <w:lang w:val="ru-RU" w:bidi="ar-SA"/>
              </w:rPr>
              <w:t>Администрация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19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состоянии детской и подростковой преступности в ГО Красноуральск и меры по ее профилактике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i w:val="false"/>
                <w:iCs w:val="false"/>
                <w:kern w:val="0"/>
                <w:sz w:val="22"/>
                <w:szCs w:val="22"/>
                <w:lang w:val="ru-RU" w:bidi="ar-SA"/>
              </w:rPr>
              <w:t>Администрация ГО Красноуральск; ОМВД России по г.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20</w:t>
            </w:r>
          </w:p>
        </w:tc>
        <w:tc>
          <w:tcPr>
            <w:tcW w:w="3577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Отчет о работе комиссии за 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I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полугодие 202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4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года, планирование работы на 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II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полугодие 202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4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года.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Июнь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Комиссия по социальной политике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uppressAutoHyphens w:val="false"/>
        <w:jc w:val="center"/>
        <w:rPr>
          <w:rFonts w:eastAsia="Calibri" w:eastAsiaTheme="minorHAnsi"/>
          <w:b/>
          <w:sz w:val="26"/>
          <w:szCs w:val="26"/>
          <w:lang w:eastAsia="en-US"/>
        </w:rPr>
      </w:pPr>
      <w:r>
        <w:rPr>
          <w:rFonts w:eastAsia="Calibri" w:eastAsiaTheme="minorHAnsi"/>
          <w:b/>
          <w:sz w:val="26"/>
          <w:szCs w:val="26"/>
          <w:lang w:eastAsia="en-US"/>
        </w:rPr>
      </w:r>
    </w:p>
    <w:sectPr>
      <w:headerReference w:type="default" r:id="rId4"/>
      <w:type w:val="nextPage"/>
      <w:pgSz w:w="11906" w:h="16838"/>
      <w:pgMar w:left="1701" w:right="707" w:gutter="0" w:header="708" w:top="993" w:footer="0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45106964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744" w:hanging="1035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3679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1542bc"/>
    <w:pPr>
      <w:widowControl w:val="false"/>
      <w:suppressAutoHyphens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  <w:lang w:eastAsia="ru-RU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1542b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unhideWhenUsed/>
    <w:rsid w:val="00336792"/>
    <w:rPr>
      <w:color w:val="0563C1"/>
      <w:u w:val="single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041670"/>
    <w:rPr>
      <w:rFonts w:ascii="Segoe UI" w:hAnsi="Segoe UI" w:eastAsia="Times New Roman" w:cs="Segoe UI"/>
      <w:sz w:val="18"/>
      <w:szCs w:val="18"/>
      <w:lang w:eastAsia="ar-SA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3922b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4" w:customStyle="1">
    <w:name w:val="Нижний колонтитул Знак"/>
    <w:basedOn w:val="DefaultParagraphFont"/>
    <w:uiPriority w:val="99"/>
    <w:semiHidden/>
    <w:qFormat/>
    <w:rsid w:val="003922b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5" w:customStyle="1">
    <w:name w:val="Гипертекстовая ссылка"/>
    <w:uiPriority w:val="99"/>
    <w:qFormat/>
    <w:rsid w:val="00851dc5"/>
    <w:rPr>
      <w:b/>
      <w:bCs/>
      <w:color w:val="008000"/>
    </w:rPr>
  </w:style>
  <w:style w:type="character" w:styleId="1" w:customStyle="1">
    <w:name w:val="Заголовок 1 Знак"/>
    <w:basedOn w:val="DefaultParagraphFont"/>
    <w:uiPriority w:val="9"/>
    <w:qFormat/>
    <w:rsid w:val="001542bc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3" w:customStyle="1">
    <w:name w:val="Заголовок 3 Знак"/>
    <w:basedOn w:val="DefaultParagraphFont"/>
    <w:uiPriority w:val="9"/>
    <w:semiHidden/>
    <w:qFormat/>
    <w:rsid w:val="001542bc"/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  <w:sz w:val="24"/>
      <w:szCs w:val="24"/>
      <w:lang w:eastAsia="ar-SA"/>
    </w:rPr>
  </w:style>
  <w:style w:type="character" w:styleId="FontStyle112">
    <w:name w:val="Font Style112"/>
    <w:basedOn w:val="DefaultParagraphFont"/>
    <w:qFormat/>
    <w:rPr>
      <w:rFonts w:ascii="Times New Roman" w:hAnsi="Times New Roman" w:cs="Times New Roman"/>
      <w:b/>
      <w:bCs/>
      <w:sz w:val="30"/>
      <w:szCs w:val="30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onsTitle" w:customStyle="1">
    <w:name w:val="ConsTitle"/>
    <w:qFormat/>
    <w:rsid w:val="00336792"/>
    <w:pPr>
      <w:widowControl w:val="false"/>
      <w:suppressAutoHyphens w:val="true"/>
      <w:bidi w:val="0"/>
      <w:spacing w:lineRule="auto" w:line="240" w:before="0" w:after="0"/>
      <w:ind w:hanging="0" w:right="19772"/>
      <w:jc w:val="left"/>
    </w:pPr>
    <w:rPr>
      <w:rFonts w:ascii="Arial" w:hAnsi="Arial" w:eastAsia="Arial" w:cs="Arial"/>
      <w:b/>
      <w:bCs/>
      <w:color w:val="auto"/>
      <w:kern w:val="0"/>
      <w:sz w:val="16"/>
      <w:szCs w:val="16"/>
      <w:lang w:val="ru-RU" w:eastAsia="ar-SA" w:bidi="ar-SA"/>
    </w:rPr>
  </w:style>
  <w:style w:type="paragraph" w:styleId="Style18" w:customStyle="1">
    <w:name w:val="Таблицы (моноширинный)"/>
    <w:basedOn w:val="Normal"/>
    <w:next w:val="Normal"/>
    <w:qFormat/>
    <w:rsid w:val="00336792"/>
    <w:pPr>
      <w:widowControl w:val="false"/>
      <w:jc w:val="both"/>
    </w:pPr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1"/>
    <w:qFormat/>
    <w:rsid w:val="0033679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336792"/>
    <w:pPr>
      <w:suppressAutoHyphens w:val="false"/>
      <w:spacing w:before="0" w:after="0"/>
      <w:ind w:hanging="0" w:left="720"/>
      <w:contextualSpacing/>
    </w:pPr>
    <w:rPr>
      <w:lang w:eastAsia="ru-RU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041670"/>
    <w:pPr/>
    <w:rPr>
      <w:rFonts w:ascii="Segoe UI" w:hAnsi="Segoe UI" w:cs="Segoe UI"/>
      <w:sz w:val="18"/>
      <w:szCs w:val="18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3"/>
    <w:uiPriority w:val="99"/>
    <w:unhideWhenUsed/>
    <w:rsid w:val="003922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uiPriority w:val="99"/>
    <w:semiHidden/>
    <w:unhideWhenUsed/>
    <w:rsid w:val="003922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 w:customStyle="1">
    <w:name w:val="ConsPlusTitle"/>
    <w:qFormat/>
    <w:rsid w:val="00cf7287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905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dumakrur.ru/" TargetMode="External"/><Relationship Id="rId4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32A9D-065A-42A4-A176-AD38B219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Application>LibreOffice/7.6.4.1$Windows_X86_64 LibreOffice_project/e19e193f88cd6c0525a17fb7a176ed8e6a3e2aa1</Application>
  <AppVersion>15.0000</AppVersion>
  <Pages>11</Pages>
  <Words>2304</Words>
  <Characters>15816</Characters>
  <CharactersWithSpaces>17909</CharactersWithSpaces>
  <Paragraphs>391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2019-12-20T03:48:00Z</dcterms:created>
  <dc:creator>BuhDuma</dc:creator>
  <dc:description/>
  <dc:language>ru-RU</dc:language>
  <cp:lastModifiedBy/>
  <cp:lastPrinted>2023-12-15T10:03:34Z</cp:lastPrinted>
  <dcterms:modified xsi:type="dcterms:W3CDTF">2023-12-15T10:03:21Z</dcterms:modified>
  <cp:revision>148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